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黑体" w:hAnsi="黑体" w:eastAsia="黑体" w:cs="黑体"/>
          <w:b/>
          <w:bCs/>
          <w:lang w:eastAsia="zh-CN"/>
        </w:rPr>
      </w:pPr>
      <w:bookmarkStart w:id="0" w:name="_Toc507312038"/>
      <w:r>
        <w:rPr>
          <w:rFonts w:hint="eastAsia" w:ascii="黑体" w:hAnsi="黑体" w:eastAsia="黑体" w:cs="黑体"/>
          <w:b/>
          <w:bCs/>
          <w:sz w:val="36"/>
          <w:lang w:val="en-US" w:eastAsia="zh-CN"/>
        </w:rPr>
        <w:t>2022年度固定</w:t>
      </w:r>
      <w:r>
        <w:rPr>
          <w:rFonts w:hint="eastAsia" w:ascii="黑体" w:hAnsi="黑体" w:eastAsia="黑体" w:cs="黑体"/>
          <w:b/>
          <w:bCs/>
          <w:sz w:val="36"/>
        </w:rPr>
        <w:t>资产清查</w:t>
      </w:r>
      <w:bookmarkEnd w:id="0"/>
      <w:r>
        <w:rPr>
          <w:rFonts w:hint="eastAsia" w:ascii="黑体" w:hAnsi="黑体" w:eastAsia="黑体" w:cs="黑体"/>
          <w:b/>
          <w:bCs/>
          <w:sz w:val="36"/>
          <w:lang w:eastAsia="zh-CN"/>
        </w:rPr>
        <w:t>操作指南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after="0"/>
        <w:ind w:leftChars="0"/>
        <w:jc w:val="center"/>
        <w:textAlignment w:val="auto"/>
        <w:rPr>
          <w:rFonts w:hint="eastAsia" w:ascii="仿宋_GB2312" w:hAnsi="仿宋_GB2312" w:eastAsia="仿宋_GB2312" w:cs="仿宋_GB2312"/>
          <w:color w:val="0000FF"/>
          <w:sz w:val="28"/>
          <w:szCs w:val="28"/>
          <w:lang w:val="en-US" w:eastAsia="zh-CN"/>
        </w:rPr>
      </w:pPr>
      <w:bookmarkStart w:id="1" w:name="_Toc507312039"/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第一部分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资产管理手机APP下载</w:t>
      </w:r>
      <w:r>
        <w:rPr>
          <w:rFonts w:hint="eastAsia" w:ascii="仿宋_GB2312" w:hAnsi="仿宋_GB2312" w:eastAsia="仿宋_GB2312" w:cs="仿宋_GB2312"/>
          <w:color w:val="0000FF"/>
          <w:sz w:val="28"/>
          <w:szCs w:val="28"/>
          <w:lang w:val="en-US" w:eastAsia="zh-CN"/>
        </w:rPr>
        <w:t xml:space="preserve"> </w:t>
      </w:r>
    </w:p>
    <w:p>
      <w:pPr>
        <w:pStyle w:val="16"/>
        <w:spacing w:line="360" w:lineRule="auto"/>
        <w:ind w:firstLine="843" w:firstLineChars="3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一． 安卓版手机下载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1. </w:t>
      </w:r>
      <w:r>
        <w:rPr>
          <w:rFonts w:hint="eastAsia" w:ascii="仿宋_GB2312" w:hAnsi="仿宋_GB2312" w:eastAsia="仿宋_GB2312" w:cs="仿宋_GB2312"/>
          <w:sz w:val="28"/>
          <w:szCs w:val="28"/>
        </w:rPr>
        <w:t>登录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资产管理处主页，点“资产管理平台”（或者通过学校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OA系统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进入固定资产管理系统，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p>
      <w:pPr>
        <w:pStyle w:val="16"/>
        <w:spacing w:line="360" w:lineRule="auto"/>
        <w:ind w:firstLine="420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110480" cy="1893570"/>
            <wp:effectExtent l="0" t="0" r="13970" b="11430"/>
            <wp:docPr id="7" name="图片 7" descr="16322773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227736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spacing w:line="360" w:lineRule="auto"/>
        <w:ind w:firstLine="42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055870" cy="2586990"/>
            <wp:effectExtent l="0" t="0" r="1143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304800" cy="304800"/>
            <wp:effectExtent l="0" t="0" r="0" b="0"/>
            <wp:docPr id="2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2.登入系统，账号为工号，密码为Zcgl@8462559(通过“智慧校园”系统可直接登录系统），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96485" cy="2993390"/>
            <wp:effectExtent l="0" t="0" r="18415" b="16510"/>
            <wp:docPr id="4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299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4800" cy="304800"/>
            <wp:effectExtent l="0" t="0" r="0" b="0"/>
            <wp:docPr id="44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鼠标移至</w:t>
      </w:r>
      <w:r>
        <w:rPr>
          <w:rFonts w:hint="eastAsia" w:ascii="仿宋_GB2312" w:hAnsi="仿宋_GB2312" w:eastAsia="仿宋_GB2312" w:cs="仿宋_GB2312"/>
          <w:sz w:val="28"/>
          <w:szCs w:val="28"/>
        </w:rPr>
        <w:t>页面右上角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的</w:t>
      </w:r>
      <w:r>
        <w:rPr>
          <w:rFonts w:hint="eastAsia" w:ascii="仿宋_GB2312" w:hAnsi="仿宋_GB2312" w:eastAsia="仿宋_GB2312" w:cs="仿宋_GB2312"/>
          <w:sz w:val="28"/>
          <w:szCs w:val="28"/>
        </w:rPr>
        <w:t>手机图案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上面</w:t>
      </w:r>
      <w:r>
        <w:rPr>
          <w:rFonts w:hint="eastAsia" w:ascii="仿宋_GB2312" w:hAnsi="仿宋_GB2312" w:eastAsia="仿宋_GB2312" w:cs="仿宋_GB2312"/>
          <w:sz w:val="28"/>
          <w:szCs w:val="28"/>
        </w:rPr>
        <w:t>，弹出一个下载二维码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</w:rPr>
        <w:t>用手机浏览器扫码下载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安装，安装完成后，即可在手机屏幕上出现“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drawing>
          <wp:inline distT="0" distB="0" distL="114300" distR="114300">
            <wp:extent cx="360680" cy="254635"/>
            <wp:effectExtent l="0" t="0" r="1270" b="12065"/>
            <wp:docPr id="9" name="图片 9" descr="90dcb58684795ab0111d9b271a5a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0dcb58684795ab0111d9b271a5a1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" cy="25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”图标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（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</w:rPr>
        <w:t>注意：下载手机端时要连校园内网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）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267325" cy="2281555"/>
            <wp:effectExtent l="0" t="0" r="9525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4.修改登录密码，登录系统后点击右上角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4360" cy="179705"/>
            <wp:effectExtent l="0" t="0" r="15240" b="10795"/>
            <wp:docPr id="4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，修改当前登录人的密码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68020" cy="131445"/>
            <wp:effectExtent l="0" t="0" r="17780" b="1905"/>
            <wp:docPr id="4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，密码设置要求为大小写字母、数字及特殊数字混合且长度大于8位。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7640" cy="2290445"/>
            <wp:effectExtent l="0" t="0" r="10160" b="1460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苹果版手机下载</w:t>
      </w:r>
    </w:p>
    <w:p>
      <w:pPr>
        <w:pStyle w:val="16"/>
        <w:spacing w:line="360" w:lineRule="auto"/>
        <w:ind w:firstLine="42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通过App Store应用商店，搜索“潍医资产”下载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>
      <w:pPr>
        <w:pStyle w:val="16"/>
        <w:spacing w:line="360" w:lineRule="auto"/>
        <w:ind w:firstLine="420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2540</wp:posOffset>
            </wp:positionV>
            <wp:extent cx="5218430" cy="1515745"/>
            <wp:effectExtent l="0" t="0" r="1270" b="8255"/>
            <wp:wrapNone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843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6"/>
        <w:spacing w:line="360" w:lineRule="auto"/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/>
        <w:ind w:leftChars="0"/>
        <w:jc w:val="center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第二部分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28"/>
          <w:szCs w:val="28"/>
        </w:rPr>
        <w:t>资产清查</w:t>
      </w:r>
      <w:bookmarkEnd w:id="1"/>
    </w:p>
    <w:p>
      <w:pPr>
        <w:pStyle w:val="1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Cs/>
          <w:sz w:val="28"/>
          <w:szCs w:val="28"/>
        </w:rPr>
        <w:t>固定资产清查</w:t>
      </w:r>
      <w:r>
        <w:rPr>
          <w:rFonts w:hint="eastAsia" w:ascii="仿宋_GB2312" w:hAnsi="仿宋_GB2312" w:eastAsia="仿宋_GB2312" w:cs="仿宋_GB2312"/>
          <w:sz w:val="28"/>
          <w:szCs w:val="28"/>
        </w:rPr>
        <w:t>窗口分为左右两部分，左边是以当前单位为根节点的单位树，右边是被选定单位的所有被清查的固定资产信息，如图所示。</w:t>
      </w:r>
    </w:p>
    <w:p>
      <w:pPr>
        <w:pStyle w:val="10"/>
        <w:spacing w:before="0" w:beforeAutospacing="0" w:after="0" w:afterAutospacing="0"/>
        <w:jc w:val="center"/>
        <w:rPr>
          <w:rFonts w:ascii="微软雅黑" w:eastAsia="微软雅黑" w:cs="微软雅黑"/>
          <w:color w:val="004080"/>
          <w:sz w:val="19"/>
          <w:szCs w:val="19"/>
          <w:lang w:val="zh-CN"/>
        </w:rPr>
      </w:pPr>
      <w:r>
        <w:rPr>
          <w:rFonts w:ascii="微软雅黑" w:eastAsia="微软雅黑" w:cs="微软雅黑"/>
          <w:color w:val="004080"/>
          <w:sz w:val="19"/>
          <w:szCs w:val="19"/>
          <w:lang w:val="zh-CN"/>
        </w:rPr>
        <w:drawing>
          <wp:inline distT="0" distB="0" distL="114300" distR="114300">
            <wp:extent cx="4922520" cy="2009140"/>
            <wp:effectExtent l="0" t="0" r="11430" b="10160"/>
            <wp:docPr id="14" name="图片 14" descr="16316711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1671129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0" w:lineRule="exact"/>
        <w:jc w:val="center"/>
      </w:pP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右侧的数据窗口显示了当前单位的所有固定资产及目前的清查状态。窗口的第一列数据即清查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状态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</w:rPr>
        <w:t>共有四种状态：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02260" cy="226695"/>
            <wp:effectExtent l="0" t="0" r="2540" b="1905"/>
            <wp:docPr id="15" name="图片 15" descr="16327295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272957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为尚未清查；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49250" cy="179705"/>
            <wp:effectExtent l="0" t="0" r="12700" b="10795"/>
            <wp:docPr id="28" name="图片 28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为已清查正常，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账</w:t>
      </w:r>
      <w:r>
        <w:rPr>
          <w:rFonts w:hint="eastAsia" w:ascii="仿宋_GB2312" w:hAnsi="仿宋_GB2312" w:eastAsia="仿宋_GB2312" w:cs="仿宋_GB2312"/>
          <w:sz w:val="28"/>
          <w:szCs w:val="28"/>
        </w:rPr>
        <w:t>、物相符；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33705" cy="200025"/>
            <wp:effectExtent l="0" t="0" r="4445" b="9525"/>
            <wp:docPr id="35" name="图片 35" descr="16327307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3273077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为盘亏，有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账</w:t>
      </w:r>
      <w:r>
        <w:rPr>
          <w:rFonts w:hint="eastAsia" w:ascii="仿宋_GB2312" w:hAnsi="仿宋_GB2312" w:eastAsia="仿宋_GB2312" w:cs="仿宋_GB2312"/>
          <w:sz w:val="28"/>
          <w:szCs w:val="28"/>
        </w:rPr>
        <w:t>无物；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44805" cy="222250"/>
            <wp:effectExtent l="0" t="0" r="17145" b="6350"/>
            <wp:docPr id="36" name="图片 36" descr="16327316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632731660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" cy="22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为盘盈，有物无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账</w:t>
      </w:r>
      <w:r>
        <w:rPr>
          <w:rFonts w:hint="eastAsia" w:ascii="仿宋_GB2312" w:hAnsi="仿宋_GB2312" w:eastAsia="仿宋_GB2312" w:cs="仿宋_GB2312"/>
          <w:sz w:val="28"/>
          <w:szCs w:val="28"/>
        </w:rPr>
        <w:t>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清查步骤：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default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  <w:t>一．手机APP盘点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利用手机条码扫描器读入某资产的条形码或二维码编码号，标记该资产清查正常，资产编号前面的状态显示为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84810" cy="203835"/>
            <wp:effectExtent l="0" t="0" r="15240" b="5715"/>
            <wp:docPr id="27" name="图片 27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，表示该资产已清查且正常。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点击手机上的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APP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drawing>
          <wp:inline distT="0" distB="0" distL="114300" distR="114300">
            <wp:extent cx="307975" cy="213360"/>
            <wp:effectExtent l="0" t="0" r="15875" b="15240"/>
            <wp:docPr id="1" name="图片 1" descr="90dcb58684795ab0111d9b271a5a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dcb58684795ab0111d9b271a5a1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eastAsia="zh-CN"/>
        </w:rPr>
        <w:t>”图标，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账号为工号，密码为Zcgl@工号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登入“资产管理移动平台”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13" w:afterLines="100" w:line="360" w:lineRule="auto"/>
        <w:ind w:firstLine="562" w:firstLineChars="200"/>
        <w:textAlignment w:val="auto"/>
      </w:pPr>
      <w:r>
        <w:drawing>
          <wp:inline distT="0" distB="0" distL="114300" distR="114300">
            <wp:extent cx="4817110" cy="2046605"/>
            <wp:effectExtent l="0" t="0" r="2540" b="10795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17110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341630</wp:posOffset>
            </wp:positionH>
            <wp:positionV relativeFrom="paragraph">
              <wp:posOffset>276225</wp:posOffset>
            </wp:positionV>
            <wp:extent cx="4857750" cy="1593215"/>
            <wp:effectExtent l="0" t="0" r="0" b="6985"/>
            <wp:wrapNone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 w:val="0"/>
          <w:bCs w:val="0"/>
          <w:lang w:eastAsia="zh-CN"/>
        </w:rPr>
        <w:t>进入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“资产管理移动平台”页面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2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pStyle w:val="18"/>
        <w:keepNext w:val="0"/>
        <w:keepLines w:val="0"/>
        <w:spacing w:before="0" w:line="360" w:lineRule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点击首页的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资产清查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按钮进入资产清查界面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2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4927600" cy="1976120"/>
            <wp:effectExtent l="0" t="0" r="6350" b="5080"/>
            <wp:docPr id="48" name="图片 48" descr="bd23a32b42765f9b8923f38d1b26d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bd23a32b42765f9b8923f38d1b26d5f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760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“部门盘点”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按钮进入资产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盘点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界面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，部门盘点界面展示了本部门的资产总数以及资产总价值，点击右上角的“资产清查”按钮即可对资产进行清查操作，如下图。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420"/>
        <w:jc w:val="both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drawing>
          <wp:inline distT="0" distB="0" distL="114300" distR="114300">
            <wp:extent cx="5102225" cy="2352040"/>
            <wp:effectExtent l="0" t="0" r="3175" b="10160"/>
            <wp:docPr id="3" name="图片 3" descr="微信图片_2021092610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92610153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</w:t>
      </w:r>
      <w:r>
        <w:rPr>
          <w:rFonts w:hint="eastAsia" w:ascii="仿宋_GB2312" w:hAnsi="仿宋_GB2312" w:eastAsia="仿宋_GB2312" w:cs="仿宋_GB2312"/>
          <w:sz w:val="28"/>
          <w:szCs w:val="28"/>
        </w:rPr>
        <w:t>点击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</w:rPr>
        <w:t>扫描资产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”便可</w:t>
      </w:r>
      <w:r>
        <w:rPr>
          <w:rFonts w:hint="eastAsia" w:ascii="仿宋_GB2312" w:hAnsi="仿宋_GB2312" w:eastAsia="仿宋_GB2312" w:cs="仿宋_GB2312"/>
          <w:sz w:val="28"/>
          <w:szCs w:val="28"/>
        </w:rPr>
        <w:t>进行扫码操作，扫描资产二维码可展示资产信息。</w:t>
      </w:r>
      <w:bookmarkStart w:id="2" w:name="_Toc32443"/>
      <w:bookmarkStart w:id="3" w:name="_Toc11804"/>
      <w:bookmarkStart w:id="4" w:name="_Toc522015413"/>
    </w:p>
    <w:bookmarkEnd w:id="2"/>
    <w:bookmarkEnd w:id="3"/>
    <w:bookmarkEnd w:id="4"/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28"/>
          <w:szCs w:val="28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4963160" cy="2096135"/>
            <wp:effectExtent l="0" t="0" r="8890" b="1841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</w:rPr>
        <w:t xml:space="preserve">  </w:t>
      </w:r>
      <w:r>
        <w:rPr>
          <w:rFonts w:hint="eastAsia" w:ascii="仿宋_GB2312" w:hAnsi="仿宋_GB2312" w:eastAsia="仿宋_GB2312" w:cs="仿宋_GB2312"/>
          <w:color w:val="auto"/>
          <w:sz w:val="28"/>
          <w:szCs w:val="28"/>
          <w:highlight w:val="none"/>
          <w:lang w:val="en-US" w:eastAsia="zh-CN"/>
        </w:rPr>
        <w:t xml:space="preserve">  6.扫码出现该资产主要信息，其中，“清查状态”有在用、未使用、不需用、不能使用四个选项，核实资产实际状态，核选后，点“提交-确认”成功，该资产即清查完毕。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    </w:t>
      </w: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3493770" cy="784225"/>
            <wp:effectExtent l="0" t="0" r="11430" b="15875"/>
            <wp:docPr id="31" name="图片 31" descr="b654bc6667d713db79c5ddf74ba2d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b654bc6667d713db79c5ddf74ba2d0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7.交成功，系统中相应的资产资产编号前面的状态显示为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38150" cy="210185"/>
            <wp:effectExtent l="0" t="0" r="0" b="18415"/>
            <wp:docPr id="26" name="图片 26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，清查状态为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23240" cy="230505"/>
            <wp:effectExtent l="0" t="0" r="10160" b="17145"/>
            <wp:docPr id="29" name="图片 29" descr="16327298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3272983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等，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。 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4527550" cy="1656080"/>
            <wp:effectExtent l="0" t="0" r="6350" b="1270"/>
            <wp:docPr id="53" name="图片 53" descr="16336789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33678942(1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8.扫描出现异常资产，需按日常流程在资产系统中进行变更，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“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792480" cy="283845"/>
            <wp:effectExtent l="0" t="0" r="7620" b="1905"/>
            <wp:docPr id="13" name="图片 13" descr="16340008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4000827(1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”功能因资产信息维护复杂，暂不使用。</w:t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027295" cy="1938655"/>
            <wp:effectExtent l="0" t="0" r="1905" b="4445"/>
            <wp:docPr id="38" name="图片 38" descr="163400140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634001408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032375" cy="2173605"/>
            <wp:effectExtent l="0" t="0" r="15875" b="17145"/>
            <wp:docPr id="41" name="图片 41" descr="16340018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34001879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9.如遇已盘点过的资产，则显示“该资产已盘点过！”的提示，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4540250" cy="2780665"/>
            <wp:effectExtent l="0" t="0" r="12700" b="635"/>
            <wp:docPr id="2" name="图片 2" descr="163400031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4000317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10.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如遇到无法扫码或条码不完整的资产，可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到资产管理处重新打印资产标签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，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正确黏贴后再重新扫码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。</w:t>
      </w: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二．资产补查核实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 </w:t>
      </w:r>
      <w:bookmarkStart w:id="5" w:name="_Toc17050_WPSOffice_Level3"/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对盘亏、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无法扫码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等没有查到的资产，需通过“固定资产管理系统”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shd w:val="clear" w:color="FFFFFF" w:fill="D9D9D9"/>
          <w:lang w:eastAsia="zh-CN"/>
        </w:rPr>
        <w:t>资产清查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模块，手工完成。</w:t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从资产管理处主页，点“资产管理平台”（或者通过学校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OA系统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）以资产管理员账号登入“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固定资产管理系统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点击“资产清查”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-“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资产清查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>
      <w:pPr>
        <w:pStyle w:val="18"/>
        <w:keepNext w:val="0"/>
        <w:keepLines w:val="0"/>
        <w:spacing w:before="0" w:line="360" w:lineRule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4552315" cy="1602740"/>
            <wp:effectExtent l="0" t="0" r="635" b="16510"/>
            <wp:docPr id="12" name="图片 12" descr="16316710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1671029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560" w:firstLineChars="200"/>
        <w:textAlignment w:val="auto"/>
        <w:rPr>
          <w:rFonts w:hint="eastAsia" w:eastAsia="仿宋_GB2312"/>
          <w:b w:val="0"/>
          <w:bCs w:val="0"/>
          <w:sz w:val="21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2.点击右侧“盘点”，显示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固定资产清查窗口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，窗口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</w:rPr>
        <w:t>分为左右两部分，左边是以当前单位为根节点的单位树，右边是被选定单位的所有被清查的固定资产信息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。其中，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资产编号前面的状态显示为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67995" cy="233680"/>
            <wp:effectExtent l="0" t="0" r="8255" b="13970"/>
            <wp:docPr id="24" name="图片 24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23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的为清查完成的资产，显示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02260" cy="226695"/>
            <wp:effectExtent l="0" t="0" r="2540" b="1905"/>
            <wp:docPr id="23" name="图片 23" descr="16327295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632729579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的为尚未清查资产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。</w:t>
      </w:r>
    </w:p>
    <w:p>
      <w:pPr>
        <w:pStyle w:val="18"/>
        <w:keepNext w:val="0"/>
        <w:keepLines w:val="0"/>
        <w:spacing w:before="0" w:line="360" w:lineRule="auto"/>
        <w:rPr>
          <w:rFonts w:hint="eastAsia" w:eastAsia="宋体"/>
          <w:b w:val="0"/>
          <w:bCs w:val="0"/>
          <w:sz w:val="21"/>
          <w:lang w:eastAsia="zh-CN"/>
        </w:rPr>
      </w:pPr>
      <w:r>
        <w:rPr>
          <w:rFonts w:hint="eastAsia" w:eastAsia="宋体"/>
          <w:b w:val="0"/>
          <w:bCs w:val="0"/>
          <w:sz w:val="21"/>
          <w:lang w:eastAsia="zh-CN"/>
        </w:rPr>
        <w:drawing>
          <wp:inline distT="0" distB="0" distL="114300" distR="114300">
            <wp:extent cx="4705985" cy="1731010"/>
            <wp:effectExtent l="0" t="0" r="18415" b="2540"/>
            <wp:docPr id="16" name="图片 16" descr="16327291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32729176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0598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="632" w:left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3.对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尚未清查资产进行核实补查。对清查核实的资产，需将该资产资产编号前面的状态选为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67030" cy="257175"/>
            <wp:effectExtent l="0" t="0" r="13970" b="9525"/>
            <wp:docPr id="33" name="图片 33" descr="16327297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32729729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03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，同时将“清查状态”选为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drawing>
          <wp:inline distT="0" distB="0" distL="114300" distR="114300">
            <wp:extent cx="594995" cy="266065"/>
            <wp:effectExtent l="0" t="0" r="14605" b="635"/>
            <wp:docPr id="32" name="图片 32" descr="16327298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3272983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属于属盘亏资产，需将该资产资产编号前面的状态选为</w:t>
      </w:r>
      <w:r>
        <w:rPr>
          <w:rFonts w:hint="default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33705" cy="200025"/>
            <wp:effectExtent l="0" t="0" r="4445" b="9525"/>
            <wp:docPr id="30" name="图片 30" descr="163273077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3273077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370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28"/>
          <w:szCs w:val="28"/>
          <w:lang w:val="en-US" w:eastAsia="zh-CN"/>
        </w:rPr>
        <w:t>同时须选填“盘亏原因”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61010" cy="269240"/>
            <wp:effectExtent l="0" t="0" r="15240" b="16510"/>
            <wp:docPr id="34" name="图片 34" descr="16327313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32731335(1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。</w:t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="632" w:leftChars="0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673600" cy="1335405"/>
            <wp:effectExtent l="0" t="0" r="12700" b="17145"/>
            <wp:docPr id="51" name="图片 51" descr="16336775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33677585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="632" w:leftChars="0"/>
        <w:jc w:val="left"/>
        <w:rPr>
          <w:rFonts w:hint="default" w:ascii="仿宋_GB2312" w:hAnsi="仿宋_GB2312" w:eastAsia="仿宋_GB2312" w:cs="仿宋_GB2312"/>
          <w:b w:val="0"/>
          <w:bCs w:val="0"/>
          <w:i/>
          <w:i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t>4.属于盘盈资产，需点击菜单栏</w:t>
      </w:r>
      <w:r>
        <w:rPr>
          <w:rFonts w:hint="eastAsia" w:ascii="仿宋_GB2312" w:hAnsi="仿宋_GB2312" w:eastAsia="仿宋_GB2312" w:cs="仿宋_GB2312"/>
          <w:i w:val="0"/>
          <w:iCs w:val="0"/>
          <w:sz w:val="28"/>
          <w:szCs w:val="28"/>
          <w:lang w:eastAsia="zh-CN"/>
        </w:rPr>
        <w:drawing>
          <wp:inline distT="0" distB="0" distL="114300" distR="114300">
            <wp:extent cx="341630" cy="198120"/>
            <wp:effectExtent l="0" t="0" r="1270" b="11430"/>
            <wp:docPr id="40" name="图片 40" descr="16328200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632820003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163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eastAsia="zh-CN"/>
        </w:rPr>
        <w:t>添加资产，按要求录入资产信息，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t>填写完毕，点击右侧栏的</w:t>
      </w:r>
      <w:r>
        <w:rPr>
          <w:rFonts w:hint="default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drawing>
          <wp:inline distT="0" distB="0" distL="114300" distR="114300">
            <wp:extent cx="447675" cy="201930"/>
            <wp:effectExtent l="0" t="0" r="9525" b="7620"/>
            <wp:docPr id="39" name="图片 39" descr="16327320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632732066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t>按钮，对清查信息进行保存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eastAsia="zh-CN"/>
        </w:rPr>
        <w:t>如下图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sz w:val="28"/>
          <w:szCs w:val="28"/>
          <w:lang w:val="en-US" w:eastAsia="zh-CN"/>
        </w:rPr>
        <w:t>。</w:t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Chars="200" w:firstLine="482" w:firstLineChars="200"/>
        <w:jc w:val="left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19600" cy="1623060"/>
            <wp:effectExtent l="0" t="0" r="0" b="15240"/>
            <wp:docPr id="4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  <w:t>因”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</w:t>
      </w:r>
      <w:r>
        <w:drawing>
          <wp:inline distT="0" distB="0" distL="114300" distR="114300">
            <wp:extent cx="4234815" cy="1370965"/>
            <wp:effectExtent l="0" t="0" r="13335" b="635"/>
            <wp:docPr id="52" name="图片 52" descr="16336776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33677690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keepNext w:val="0"/>
        <w:keepLines w:val="0"/>
        <w:numPr>
          <w:ilvl w:val="0"/>
          <w:numId w:val="0"/>
        </w:numPr>
        <w:spacing w:before="0" w:line="360" w:lineRule="auto"/>
        <w:ind w:leftChars="200" w:firstLine="560" w:firstLineChars="200"/>
        <w:jc w:val="left"/>
        <w:rPr>
          <w:rFonts w:hint="default" w:ascii="仿宋_GB2312" w:hAnsi="仿宋_GB2312" w:eastAsia="仿宋_GB2312" w:cs="仿宋_GB2312"/>
          <w:b w:val="0"/>
          <w:bCs w:val="0"/>
          <w:i w:val="0"/>
          <w:iCs w:val="0"/>
          <w:color w:val="auto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三.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部门清查进度</w:t>
      </w:r>
      <w:bookmarkEnd w:id="5"/>
    </w:p>
    <w:p>
      <w:pPr>
        <w:pStyle w:val="16"/>
        <w:spacing w:line="360" w:lineRule="auto"/>
        <w:ind w:firstLine="420"/>
        <w:jc w:val="left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部门清查进度界面展示了所有部门的清查进度，以百分比的形式展示。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进入资产清查进度页面，点击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3550" cy="188595"/>
            <wp:effectExtent l="0" t="0" r="12700" b="1905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188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，资产清查进度情况。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55490" cy="2278380"/>
            <wp:effectExtent l="0" t="0" r="16510" b="7620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18025" cy="2633980"/>
            <wp:effectExtent l="0" t="0" r="15875" b="13970"/>
            <wp:docPr id="1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18025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22800" cy="2401570"/>
            <wp:effectExtent l="0" t="0" r="6350" b="17780"/>
            <wp:docPr id="2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eastAsia="zh-CN"/>
        </w:rPr>
        <w:t>四．资产清查结果统计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全部资产清查结束，进入“清查结果统计”，生成生成“盘盈资产明细表”“盘亏资产明细表”“清查结果汇总表”“盘盈资产明细表”“正常资产明细表”，并打印纸质表格，按要求签章报审。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45100" cy="2520950"/>
            <wp:effectExtent l="0" t="0" r="12700" b="12700"/>
            <wp:docPr id="37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6055" cy="767715"/>
            <wp:effectExtent l="0" t="0" r="10795" b="13335"/>
            <wp:docPr id="54" name="图片 54" descr="16336795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633679527(1)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bookmarkStart w:id="6" w:name="_GoBack"/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70500" cy="606425"/>
            <wp:effectExtent l="0" t="0" r="6350" b="3175"/>
            <wp:docPr id="55" name="图片 55" descr="16336795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1633679597(1)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66690" cy="1104265"/>
            <wp:effectExtent l="0" t="0" r="10160" b="635"/>
            <wp:docPr id="56" name="图片 56" descr="16336797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1633679728(1)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drawing>
          <wp:inline distT="0" distB="0" distL="114300" distR="114300">
            <wp:extent cx="5271770" cy="1541145"/>
            <wp:effectExtent l="0" t="0" r="5080" b="1905"/>
            <wp:docPr id="57" name="图片 57" descr="163367979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1633679791(1)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FD3926"/>
    <w:multiLevelType w:val="singleLevel"/>
    <w:tmpl w:val="B3FD3926"/>
    <w:lvl w:ilvl="0" w:tentative="0">
      <w:start w:val="2"/>
      <w:numFmt w:val="chineseCounting"/>
      <w:suff w:val="space"/>
      <w:lvlText w:val="%1．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hjZWNkODk1NWNkZTc5YjdjMjEyM2Q2YjU2ZTVjZTMifQ=="/>
  </w:docVars>
  <w:rsids>
    <w:rsidRoot w:val="3FF66BF2"/>
    <w:rsid w:val="00050330"/>
    <w:rsid w:val="000C52B6"/>
    <w:rsid w:val="00321C3B"/>
    <w:rsid w:val="00E34DCD"/>
    <w:rsid w:val="01CC43AF"/>
    <w:rsid w:val="02D702DB"/>
    <w:rsid w:val="034022B1"/>
    <w:rsid w:val="03492FBD"/>
    <w:rsid w:val="038B4DAD"/>
    <w:rsid w:val="04502FBD"/>
    <w:rsid w:val="04881FD8"/>
    <w:rsid w:val="04A045BA"/>
    <w:rsid w:val="05990E64"/>
    <w:rsid w:val="06F73356"/>
    <w:rsid w:val="07AB0096"/>
    <w:rsid w:val="0801778C"/>
    <w:rsid w:val="08E6629B"/>
    <w:rsid w:val="09FD6EDF"/>
    <w:rsid w:val="0A2C4F0D"/>
    <w:rsid w:val="0B2E7F0F"/>
    <w:rsid w:val="0B3A2E51"/>
    <w:rsid w:val="0BED7B04"/>
    <w:rsid w:val="0C1C318E"/>
    <w:rsid w:val="0DD24E29"/>
    <w:rsid w:val="0DE61E04"/>
    <w:rsid w:val="0EA0585B"/>
    <w:rsid w:val="0EB21D4B"/>
    <w:rsid w:val="0F43258B"/>
    <w:rsid w:val="0FE700FC"/>
    <w:rsid w:val="11A9330C"/>
    <w:rsid w:val="13000435"/>
    <w:rsid w:val="1373279B"/>
    <w:rsid w:val="139D07E6"/>
    <w:rsid w:val="14B51EE1"/>
    <w:rsid w:val="157D570D"/>
    <w:rsid w:val="162B499D"/>
    <w:rsid w:val="17516817"/>
    <w:rsid w:val="17C70FEC"/>
    <w:rsid w:val="1A1B56F4"/>
    <w:rsid w:val="1A5072E3"/>
    <w:rsid w:val="1BCC0A48"/>
    <w:rsid w:val="1C4C5578"/>
    <w:rsid w:val="1C5337BA"/>
    <w:rsid w:val="1C766D5F"/>
    <w:rsid w:val="1C81553C"/>
    <w:rsid w:val="1DAB18D8"/>
    <w:rsid w:val="1F166D81"/>
    <w:rsid w:val="2082223F"/>
    <w:rsid w:val="20AA4A3E"/>
    <w:rsid w:val="22AF5BAA"/>
    <w:rsid w:val="22EC071B"/>
    <w:rsid w:val="2311522F"/>
    <w:rsid w:val="24657E90"/>
    <w:rsid w:val="247914E4"/>
    <w:rsid w:val="24D036CB"/>
    <w:rsid w:val="254F7363"/>
    <w:rsid w:val="25A00BA1"/>
    <w:rsid w:val="26161EF1"/>
    <w:rsid w:val="26764DAF"/>
    <w:rsid w:val="28B33B50"/>
    <w:rsid w:val="28DA05F9"/>
    <w:rsid w:val="28DD0F64"/>
    <w:rsid w:val="29E27481"/>
    <w:rsid w:val="2AF24F56"/>
    <w:rsid w:val="2C1F3615"/>
    <w:rsid w:val="2DC95D76"/>
    <w:rsid w:val="2E67049B"/>
    <w:rsid w:val="2ECE358E"/>
    <w:rsid w:val="30461A2E"/>
    <w:rsid w:val="325E67A5"/>
    <w:rsid w:val="32DE0C82"/>
    <w:rsid w:val="32F03EDD"/>
    <w:rsid w:val="33B43A45"/>
    <w:rsid w:val="344F6B84"/>
    <w:rsid w:val="350908AC"/>
    <w:rsid w:val="35A374D3"/>
    <w:rsid w:val="375F3A0F"/>
    <w:rsid w:val="376D65CA"/>
    <w:rsid w:val="38D73482"/>
    <w:rsid w:val="3BE04D0B"/>
    <w:rsid w:val="3D4915A9"/>
    <w:rsid w:val="3DAD6957"/>
    <w:rsid w:val="3DBA5B6A"/>
    <w:rsid w:val="3DC57C9B"/>
    <w:rsid w:val="3E184DFA"/>
    <w:rsid w:val="3E602438"/>
    <w:rsid w:val="3FF66BF2"/>
    <w:rsid w:val="400E7386"/>
    <w:rsid w:val="41C94591"/>
    <w:rsid w:val="41CE37E5"/>
    <w:rsid w:val="436F4373"/>
    <w:rsid w:val="43B50C19"/>
    <w:rsid w:val="450F1E08"/>
    <w:rsid w:val="45C24009"/>
    <w:rsid w:val="46D07228"/>
    <w:rsid w:val="498D12B8"/>
    <w:rsid w:val="4A7F7380"/>
    <w:rsid w:val="4B251503"/>
    <w:rsid w:val="4B97205E"/>
    <w:rsid w:val="4BBE77BC"/>
    <w:rsid w:val="4D9C50CA"/>
    <w:rsid w:val="4E32086D"/>
    <w:rsid w:val="4E6F5A3D"/>
    <w:rsid w:val="4E8E6932"/>
    <w:rsid w:val="4E9F311F"/>
    <w:rsid w:val="4EF71A7E"/>
    <w:rsid w:val="4F4C5ECA"/>
    <w:rsid w:val="4FA51CFF"/>
    <w:rsid w:val="506075DD"/>
    <w:rsid w:val="51784280"/>
    <w:rsid w:val="51ED6CDF"/>
    <w:rsid w:val="52BF3807"/>
    <w:rsid w:val="52E83F81"/>
    <w:rsid w:val="532556B3"/>
    <w:rsid w:val="53C867DC"/>
    <w:rsid w:val="53FD15CF"/>
    <w:rsid w:val="548B0F89"/>
    <w:rsid w:val="54930128"/>
    <w:rsid w:val="56921E71"/>
    <w:rsid w:val="57C05F0A"/>
    <w:rsid w:val="58835357"/>
    <w:rsid w:val="58873009"/>
    <w:rsid w:val="597B1B4B"/>
    <w:rsid w:val="5A3302E5"/>
    <w:rsid w:val="5AC26BB3"/>
    <w:rsid w:val="5BE66FEA"/>
    <w:rsid w:val="5C726CD0"/>
    <w:rsid w:val="5CD271C0"/>
    <w:rsid w:val="5D1A6CE7"/>
    <w:rsid w:val="5F28228A"/>
    <w:rsid w:val="5F3A64FB"/>
    <w:rsid w:val="60170874"/>
    <w:rsid w:val="61375734"/>
    <w:rsid w:val="6202146F"/>
    <w:rsid w:val="63322327"/>
    <w:rsid w:val="63F4347C"/>
    <w:rsid w:val="646064CD"/>
    <w:rsid w:val="648F4306"/>
    <w:rsid w:val="6679222B"/>
    <w:rsid w:val="67555858"/>
    <w:rsid w:val="687C3BA9"/>
    <w:rsid w:val="68D45F2D"/>
    <w:rsid w:val="6A956915"/>
    <w:rsid w:val="6B7079CD"/>
    <w:rsid w:val="6B961B53"/>
    <w:rsid w:val="6BF42D36"/>
    <w:rsid w:val="6D6A40E7"/>
    <w:rsid w:val="6D925C00"/>
    <w:rsid w:val="6DCD75EC"/>
    <w:rsid w:val="6DCE1E4A"/>
    <w:rsid w:val="6E8035F7"/>
    <w:rsid w:val="6F693945"/>
    <w:rsid w:val="706C75E2"/>
    <w:rsid w:val="70C732EA"/>
    <w:rsid w:val="70D64EC0"/>
    <w:rsid w:val="715A2B0F"/>
    <w:rsid w:val="71E12F8E"/>
    <w:rsid w:val="73927A3D"/>
    <w:rsid w:val="73940DD9"/>
    <w:rsid w:val="74FD4B18"/>
    <w:rsid w:val="754E2000"/>
    <w:rsid w:val="75925AC0"/>
    <w:rsid w:val="777E5C7E"/>
    <w:rsid w:val="78564721"/>
    <w:rsid w:val="7B2141BA"/>
    <w:rsid w:val="7B304DB2"/>
    <w:rsid w:val="7BB64B93"/>
    <w:rsid w:val="7C1D77B9"/>
    <w:rsid w:val="7C5C5D68"/>
    <w:rsid w:val="7E554A49"/>
    <w:rsid w:val="7EE76482"/>
    <w:rsid w:val="7F73577F"/>
    <w:rsid w:val="7FCB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Balloon Text"/>
    <w:basedOn w:val="1"/>
    <w:link w:val="15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 w:eastAsia="黑体"/>
      <w:b/>
      <w:bCs/>
      <w:kern w:val="28"/>
      <w:sz w:val="32"/>
      <w:szCs w:val="32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13">
    <w:name w:val="page number"/>
    <w:basedOn w:val="12"/>
    <w:qFormat/>
    <w:uiPriority w:val="0"/>
  </w:style>
  <w:style w:type="character" w:styleId="14">
    <w:name w:val="Hyperlink"/>
    <w:unhideWhenUsed/>
    <w:qFormat/>
    <w:uiPriority w:val="99"/>
    <w:rPr>
      <w:color w:val="0000FF"/>
      <w:u w:val="single"/>
    </w:rPr>
  </w:style>
  <w:style w:type="character" w:customStyle="1" w:styleId="15">
    <w:name w:val="批注框文本 Char"/>
    <w:basedOn w:val="12"/>
    <w:link w:val="6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16">
    <w:name w:val="zw"/>
    <w:basedOn w:val="1"/>
    <w:qFormat/>
    <w:uiPriority w:val="0"/>
    <w:rPr>
      <w:rFonts w:cs="黑体"/>
      <w:sz w:val="24"/>
      <w:szCs w:val="24"/>
    </w:rPr>
  </w:style>
  <w:style w:type="paragraph" w:customStyle="1" w:styleId="17">
    <w:name w:val="1.1"/>
    <w:basedOn w:val="3"/>
    <w:next w:val="18"/>
    <w:qFormat/>
    <w:uiPriority w:val="0"/>
    <w:pPr>
      <w:jc w:val="left"/>
    </w:pPr>
  </w:style>
  <w:style w:type="paragraph" w:customStyle="1" w:styleId="18">
    <w:name w:val="1.1.1"/>
    <w:basedOn w:val="4"/>
    <w:qFormat/>
    <w:uiPriority w:val="0"/>
    <w:pPr>
      <w:ind w:firstLine="420"/>
    </w:pPr>
    <w:rPr>
      <w:rFonts w:cs="黑体"/>
      <w:sz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../NULL"/><Relationship Id="rId5" Type="http://schemas.openxmlformats.org/officeDocument/2006/relationships/image" Target="media/image2.png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1486</Words>
  <Characters>1538</Characters>
  <Lines>12</Lines>
  <Paragraphs>3</Paragraphs>
  <TotalTime>11</TotalTime>
  <ScaleCrop>false</ScaleCrop>
  <LinksUpToDate>false</LinksUpToDate>
  <CharactersWithSpaces>1573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2021-05-14T02:29:00Z</dcterms:created>
  <dc:creator>Administrator</dc:creator>
  <cp:lastModifiedBy>王咏丽</cp:lastModifiedBy>
  <dcterms:modified xsi:type="dcterms:W3CDTF">2022-09-26T01:28:38Z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6123DE2CC88140199B1534973B499601</vt:lpwstr>
  </property>
</Properties>
</file>